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6E" w:rsidRDefault="00402D6E" w:rsidP="00402D6E">
      <w:r>
        <w:t xml:space="preserve">OSNOVNA ŠKOLA NEORIĆ-SUTINA </w:t>
      </w:r>
    </w:p>
    <w:p w:rsidR="00402D6E" w:rsidRDefault="00402D6E" w:rsidP="00402D6E">
      <w:r>
        <w:t>NEORIĆ 43, 21247 NEORIĆ</w:t>
      </w:r>
    </w:p>
    <w:p w:rsidR="00402D6E" w:rsidRDefault="00402D6E" w:rsidP="00402D6E">
      <w:r>
        <w:t>KLASA:112-01/21-01/1</w:t>
      </w:r>
    </w:p>
    <w:p w:rsidR="00402D6E" w:rsidRDefault="00402D6E" w:rsidP="00402D6E">
      <w:r>
        <w:t>URBROJ:2180-15-21-4</w:t>
      </w:r>
    </w:p>
    <w:p w:rsidR="00402D6E" w:rsidRDefault="00402D6E" w:rsidP="00402D6E">
      <w:r>
        <w:t>U NEORIĆU,  30.06.2021. godine</w:t>
      </w:r>
    </w:p>
    <w:p w:rsidR="00402D6E" w:rsidRDefault="00402D6E" w:rsidP="00402D6E"/>
    <w:p w:rsidR="00402D6E" w:rsidRPr="00DE3CC0" w:rsidRDefault="00402D6E" w:rsidP="00402D6E">
      <w:pPr>
        <w:jc w:val="both"/>
        <w:rPr>
          <w:sz w:val="24"/>
          <w:szCs w:val="24"/>
        </w:rPr>
      </w:pPr>
      <w:r>
        <w:rPr>
          <w:sz w:val="24"/>
          <w:szCs w:val="24"/>
        </w:rPr>
        <w:t>Na temelju članka 107. Stavka 9. Zakona o odgoju i obrazovanju u osnovnoj i srednjoj školi (Narodne novine broj</w:t>
      </w:r>
      <w:r>
        <w:rPr>
          <w:rFonts w:ascii="Times New Roman" w:eastAsia="Times New Roman" w:hAnsi="Times New Roman" w:cs="Times New Roman"/>
          <w:sz w:val="24"/>
          <w:szCs w:val="24"/>
          <w:lang w:eastAsia="hr-HR"/>
        </w:rPr>
        <w:t xml:space="preserve"> 87/08</w:t>
      </w:r>
      <w:r w:rsidRPr="008868A9">
        <w:rPr>
          <w:rFonts w:ascii="Times New Roman" w:eastAsia="Times New Roman" w:hAnsi="Times New Roman" w:cs="Times New Roman"/>
          <w:sz w:val="24"/>
          <w:szCs w:val="24"/>
          <w:lang w:eastAsia="hr-HR"/>
        </w:rPr>
        <w:t>, 86/09, 92/10</w:t>
      </w:r>
      <w:r>
        <w:rPr>
          <w:rFonts w:ascii="Times New Roman" w:eastAsia="Times New Roman" w:hAnsi="Times New Roman" w:cs="Times New Roman"/>
          <w:sz w:val="24"/>
          <w:szCs w:val="24"/>
          <w:lang w:eastAsia="hr-HR"/>
        </w:rPr>
        <w:t>, 105/10</w:t>
      </w:r>
      <w:r w:rsidRPr="008868A9">
        <w:rPr>
          <w:rFonts w:ascii="Times New Roman" w:eastAsia="Times New Roman" w:hAnsi="Times New Roman" w:cs="Times New Roman"/>
          <w:sz w:val="24"/>
          <w:szCs w:val="24"/>
          <w:lang w:eastAsia="hr-HR"/>
        </w:rPr>
        <w:t xml:space="preserve">, 90/11, 5/12, 16/12, 86/12, </w:t>
      </w:r>
      <w:r>
        <w:rPr>
          <w:rFonts w:ascii="Times New Roman" w:eastAsia="Times New Roman" w:hAnsi="Times New Roman" w:cs="Times New Roman"/>
          <w:sz w:val="24"/>
          <w:szCs w:val="24"/>
          <w:lang w:eastAsia="hr-HR"/>
        </w:rPr>
        <w:t xml:space="preserve">126/12, </w:t>
      </w:r>
      <w:r w:rsidRPr="008868A9">
        <w:rPr>
          <w:rFonts w:ascii="Times New Roman" w:eastAsia="Times New Roman" w:hAnsi="Times New Roman" w:cs="Times New Roman"/>
          <w:sz w:val="24"/>
          <w:szCs w:val="24"/>
          <w:lang w:eastAsia="hr-HR"/>
        </w:rPr>
        <w:t>94/13, 152/14, 7/17, 68/18, 98/19, 64/20</w:t>
      </w:r>
      <w:r>
        <w:rPr>
          <w:rFonts w:ascii="Times New Roman" w:eastAsia="Times New Roman" w:hAnsi="Times New Roman" w:cs="Times New Roman"/>
          <w:sz w:val="24"/>
          <w:szCs w:val="24"/>
          <w:lang w:eastAsia="hr-HR"/>
        </w:rPr>
        <w:t xml:space="preserve">) i članka 16. Pravilnika o </w:t>
      </w:r>
      <w:r w:rsidRPr="00DE3CC0">
        <w:rPr>
          <w:sz w:val="24"/>
          <w:szCs w:val="24"/>
        </w:rPr>
        <w:t xml:space="preserve"> postupku zapošljavanja </w:t>
      </w:r>
      <w:r>
        <w:rPr>
          <w:sz w:val="24"/>
          <w:szCs w:val="24"/>
        </w:rPr>
        <w:t xml:space="preserve">te procjeni i vrednovanju kandidata za zapošljavanje </w:t>
      </w:r>
      <w:r w:rsidRPr="00DE3CC0">
        <w:rPr>
          <w:sz w:val="24"/>
          <w:szCs w:val="24"/>
        </w:rPr>
        <w:t xml:space="preserve">u Osnovnoj školi </w:t>
      </w:r>
      <w:r>
        <w:rPr>
          <w:sz w:val="24"/>
          <w:szCs w:val="24"/>
        </w:rPr>
        <w:t xml:space="preserve">Neorić-Sutina, </w:t>
      </w:r>
      <w:proofErr w:type="spellStart"/>
      <w:r>
        <w:rPr>
          <w:sz w:val="24"/>
          <w:szCs w:val="24"/>
        </w:rPr>
        <w:t>Neorić</w:t>
      </w:r>
      <w:proofErr w:type="spellEnd"/>
      <w:r w:rsidRPr="00DE3CC0">
        <w:rPr>
          <w:sz w:val="24"/>
          <w:szCs w:val="24"/>
        </w:rPr>
        <w:t>, a vezano uz raspisan</w:t>
      </w:r>
      <w:r>
        <w:rPr>
          <w:sz w:val="24"/>
          <w:szCs w:val="24"/>
        </w:rPr>
        <w:t>i</w:t>
      </w:r>
      <w:r w:rsidRPr="00DE3CC0">
        <w:rPr>
          <w:sz w:val="24"/>
          <w:szCs w:val="24"/>
        </w:rPr>
        <w:t xml:space="preserve"> natječaj za zasnivanje radnog odnosa na radn</w:t>
      </w:r>
      <w:r>
        <w:rPr>
          <w:sz w:val="24"/>
          <w:szCs w:val="24"/>
        </w:rPr>
        <w:t>om</w:t>
      </w:r>
      <w:r w:rsidRPr="00DE3CC0">
        <w:rPr>
          <w:sz w:val="24"/>
          <w:szCs w:val="24"/>
        </w:rPr>
        <w:t xml:space="preserve"> mjest</w:t>
      </w:r>
      <w:r>
        <w:rPr>
          <w:sz w:val="24"/>
          <w:szCs w:val="24"/>
        </w:rPr>
        <w:t>u</w:t>
      </w:r>
      <w:r w:rsidRPr="00DE3CC0">
        <w:rPr>
          <w:sz w:val="24"/>
          <w:szCs w:val="24"/>
        </w:rPr>
        <w:t xml:space="preserve"> </w:t>
      </w:r>
      <w:r>
        <w:rPr>
          <w:b/>
          <w:bCs/>
          <w:sz w:val="24"/>
          <w:szCs w:val="24"/>
        </w:rPr>
        <w:t>tajnika škole</w:t>
      </w:r>
      <w:r>
        <w:rPr>
          <w:sz w:val="24"/>
          <w:szCs w:val="24"/>
        </w:rPr>
        <w:t xml:space="preserve">  </w:t>
      </w:r>
      <w:r w:rsidRPr="00DE3CC0">
        <w:rPr>
          <w:sz w:val="24"/>
          <w:szCs w:val="24"/>
        </w:rPr>
        <w:t xml:space="preserve">objavljenog dana </w:t>
      </w:r>
      <w:r>
        <w:rPr>
          <w:sz w:val="24"/>
          <w:szCs w:val="24"/>
        </w:rPr>
        <w:t>16. lipnja</w:t>
      </w:r>
      <w:r w:rsidRPr="00DE3CC0">
        <w:rPr>
          <w:sz w:val="24"/>
          <w:szCs w:val="24"/>
        </w:rPr>
        <w:t xml:space="preserve"> 20</w:t>
      </w:r>
      <w:r>
        <w:rPr>
          <w:sz w:val="24"/>
          <w:szCs w:val="24"/>
        </w:rPr>
        <w:t>21</w:t>
      </w:r>
      <w:r w:rsidRPr="00DE3CC0">
        <w:rPr>
          <w:sz w:val="24"/>
          <w:szCs w:val="24"/>
        </w:rPr>
        <w:t xml:space="preserve">.godine, Posebno povjerenstvo za procjenu i vrednovanje kandidata za zapošljavanje objavljuje </w:t>
      </w:r>
    </w:p>
    <w:p w:rsidR="00402D6E" w:rsidRDefault="00402D6E" w:rsidP="00402D6E">
      <w:pPr>
        <w:jc w:val="both"/>
      </w:pPr>
    </w:p>
    <w:p w:rsidR="00402D6E" w:rsidRDefault="00402D6E" w:rsidP="00402D6E">
      <w:pPr>
        <w:jc w:val="both"/>
        <w:rPr>
          <w:b/>
          <w:bCs/>
          <w:i/>
          <w:iCs/>
          <w:sz w:val="28"/>
          <w:szCs w:val="28"/>
          <w:u w:val="single"/>
        </w:rPr>
      </w:pPr>
      <w:r w:rsidRPr="00DE3CC0">
        <w:rPr>
          <w:b/>
          <w:bCs/>
          <w:i/>
          <w:iCs/>
          <w:sz w:val="28"/>
          <w:szCs w:val="28"/>
          <w:u w:val="single"/>
        </w:rPr>
        <w:t>ODLUKU O NAČINU I PODRUČJU PROCJENE ODNOSNO VREDNOVANJA KANDIDATA</w:t>
      </w:r>
    </w:p>
    <w:p w:rsidR="00402D6E" w:rsidRDefault="00402D6E" w:rsidP="00402D6E">
      <w:pPr>
        <w:jc w:val="both"/>
        <w:rPr>
          <w:b/>
          <w:bCs/>
          <w:i/>
          <w:iCs/>
          <w:sz w:val="28"/>
          <w:szCs w:val="28"/>
          <w:u w:val="single"/>
        </w:rPr>
      </w:pPr>
    </w:p>
    <w:p w:rsidR="00402D6E" w:rsidRPr="000C46EE" w:rsidRDefault="00402D6E" w:rsidP="00402D6E">
      <w:pPr>
        <w:jc w:val="both"/>
        <w:rPr>
          <w:b/>
          <w:bCs/>
          <w:i/>
          <w:iCs/>
          <w:sz w:val="24"/>
          <w:szCs w:val="24"/>
        </w:rPr>
      </w:pPr>
      <w:r w:rsidRPr="000C46EE">
        <w:rPr>
          <w:b/>
          <w:bCs/>
          <w:i/>
          <w:iCs/>
          <w:sz w:val="24"/>
          <w:szCs w:val="24"/>
        </w:rPr>
        <w:t>PRAVILA:</w:t>
      </w:r>
    </w:p>
    <w:p w:rsidR="00402D6E" w:rsidRDefault="00402D6E" w:rsidP="00402D6E">
      <w:pPr>
        <w:jc w:val="both"/>
        <w:rPr>
          <w:sz w:val="24"/>
          <w:szCs w:val="24"/>
        </w:rPr>
      </w:pPr>
      <w:r>
        <w:rPr>
          <w:sz w:val="24"/>
          <w:szCs w:val="24"/>
        </w:rPr>
        <w:t xml:space="preserve">Sukladno odredbama </w:t>
      </w:r>
      <w:r w:rsidRPr="00DE3CC0">
        <w:rPr>
          <w:sz w:val="24"/>
          <w:szCs w:val="24"/>
        </w:rPr>
        <w:t xml:space="preserve">Pravilnika o postupku zapošljavanja </w:t>
      </w:r>
      <w:r>
        <w:rPr>
          <w:sz w:val="24"/>
          <w:szCs w:val="24"/>
        </w:rPr>
        <w:t xml:space="preserve">te procjeni i vrednovanju kandidata za zapošljavanje </w:t>
      </w:r>
      <w:r w:rsidRPr="00DE3CC0">
        <w:rPr>
          <w:sz w:val="24"/>
          <w:szCs w:val="24"/>
        </w:rPr>
        <w:t xml:space="preserve">u Osnovnoj školi </w:t>
      </w:r>
      <w:r>
        <w:rPr>
          <w:sz w:val="24"/>
          <w:szCs w:val="24"/>
        </w:rPr>
        <w:t xml:space="preserve">Neorić-Sutina, </w:t>
      </w:r>
      <w:proofErr w:type="spellStart"/>
      <w:r>
        <w:rPr>
          <w:sz w:val="24"/>
          <w:szCs w:val="24"/>
        </w:rPr>
        <w:t>Neorić</w:t>
      </w:r>
      <w:proofErr w:type="spellEnd"/>
      <w:r>
        <w:rPr>
          <w:sz w:val="24"/>
          <w:szCs w:val="24"/>
        </w:rPr>
        <w:t xml:space="preserve"> obavit će se procjena odnosno vrednovanje kandidata.</w:t>
      </w:r>
    </w:p>
    <w:p w:rsidR="00402D6E" w:rsidRDefault="00402D6E" w:rsidP="00402D6E">
      <w:pPr>
        <w:jc w:val="both"/>
        <w:rPr>
          <w:sz w:val="24"/>
          <w:szCs w:val="24"/>
        </w:rPr>
      </w:pPr>
      <w:r>
        <w:rPr>
          <w:sz w:val="24"/>
          <w:szCs w:val="24"/>
        </w:rPr>
        <w:t>Način procjene odnosno vrednovanje bit će obavljeno putem pisane i usmene procjene odnosno vrednovanja kandidata.</w:t>
      </w:r>
    </w:p>
    <w:p w:rsidR="00402D6E" w:rsidRDefault="00402D6E" w:rsidP="00402D6E">
      <w:pPr>
        <w:jc w:val="both"/>
        <w:rPr>
          <w:sz w:val="24"/>
          <w:szCs w:val="24"/>
        </w:rPr>
      </w:pPr>
      <w:r>
        <w:rPr>
          <w:sz w:val="24"/>
          <w:szCs w:val="24"/>
        </w:rPr>
        <w:t>Područje procjene odnosno vrednovanja biti će poznavanje propisa koji se odnose na poznavanje i primjenu propisa iz djelokruga rada tajnika.</w:t>
      </w:r>
    </w:p>
    <w:p w:rsidR="00402D6E" w:rsidRDefault="00402D6E" w:rsidP="00402D6E">
      <w:pPr>
        <w:jc w:val="both"/>
        <w:rPr>
          <w:sz w:val="24"/>
          <w:szCs w:val="24"/>
        </w:rPr>
      </w:pPr>
      <w:r>
        <w:rPr>
          <w:sz w:val="24"/>
          <w:szCs w:val="24"/>
        </w:rPr>
        <w:t>Kandidati su obvezni pristupiti procjeni odnosno vrednovanju putem pisane procjene odnosno vrednovanja. Ako kandidat ne pristupi procjeni odnosno vrednovanju , smatra se da je odustao od  prijave na natječaj.</w:t>
      </w:r>
    </w:p>
    <w:p w:rsidR="00402D6E" w:rsidRDefault="00402D6E" w:rsidP="00402D6E">
      <w:pPr>
        <w:jc w:val="both"/>
        <w:rPr>
          <w:sz w:val="24"/>
          <w:szCs w:val="24"/>
        </w:rPr>
      </w:pPr>
      <w:r>
        <w:rPr>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rsidR="00402D6E" w:rsidRPr="000C46EE" w:rsidRDefault="00402D6E" w:rsidP="00402D6E">
      <w:pPr>
        <w:jc w:val="both"/>
        <w:rPr>
          <w:sz w:val="24"/>
          <w:szCs w:val="24"/>
        </w:rPr>
      </w:pPr>
      <w:r>
        <w:rPr>
          <w:sz w:val="24"/>
          <w:szCs w:val="24"/>
        </w:rPr>
        <w:t xml:space="preserve">Nakon utvrđivanja identiteta Povjerenstvo za procjenu i vrednovanje kandidata za zapošljavanje  podijelit će im testove. Po zaprimanju testa kandidat je dužan upisati ime i </w:t>
      </w:r>
      <w:r>
        <w:rPr>
          <w:sz w:val="24"/>
          <w:szCs w:val="24"/>
        </w:rPr>
        <w:lastRenderedPageBreak/>
        <w:t>prezime na označenom mjestu na testu. Test se piše isključivo crnom ili plavom kemijskom olovkom. Test sadrži dvadeset (20) pitanja.</w:t>
      </w:r>
    </w:p>
    <w:p w:rsidR="00402D6E" w:rsidRDefault="00402D6E" w:rsidP="00402D6E">
      <w:pPr>
        <w:jc w:val="both"/>
        <w:rPr>
          <w:sz w:val="24"/>
          <w:szCs w:val="24"/>
        </w:rPr>
      </w:pPr>
    </w:p>
    <w:p w:rsidR="00402D6E" w:rsidRDefault="00402D6E" w:rsidP="00402D6E">
      <w:pPr>
        <w:jc w:val="both"/>
        <w:rPr>
          <w:sz w:val="24"/>
          <w:szCs w:val="24"/>
        </w:rPr>
      </w:pPr>
      <w:r w:rsidRPr="004802FF">
        <w:rPr>
          <w:sz w:val="24"/>
          <w:szCs w:val="24"/>
        </w:rPr>
        <w:t>Za vrijeme testiranja nije dopušteno:</w:t>
      </w:r>
    </w:p>
    <w:p w:rsidR="00402D6E" w:rsidRDefault="00402D6E" w:rsidP="00402D6E">
      <w:pPr>
        <w:pStyle w:val="Odlomakpopisa"/>
        <w:numPr>
          <w:ilvl w:val="0"/>
          <w:numId w:val="1"/>
        </w:numPr>
        <w:jc w:val="both"/>
        <w:rPr>
          <w:sz w:val="24"/>
          <w:szCs w:val="24"/>
        </w:rPr>
      </w:pPr>
      <w:r>
        <w:rPr>
          <w:sz w:val="24"/>
          <w:szCs w:val="24"/>
        </w:rPr>
        <w:t>Koristiti se bilo kakvom literaturom odnosno bilješkama</w:t>
      </w:r>
    </w:p>
    <w:p w:rsidR="00402D6E" w:rsidRDefault="00402D6E" w:rsidP="00402D6E">
      <w:pPr>
        <w:pStyle w:val="Odlomakpopisa"/>
        <w:numPr>
          <w:ilvl w:val="0"/>
          <w:numId w:val="1"/>
        </w:numPr>
        <w:jc w:val="both"/>
        <w:rPr>
          <w:sz w:val="24"/>
          <w:szCs w:val="24"/>
        </w:rPr>
      </w:pPr>
      <w:r>
        <w:rPr>
          <w:sz w:val="24"/>
          <w:szCs w:val="24"/>
        </w:rPr>
        <w:t xml:space="preserve">Koristiti mobitel ili druga komunikacijska sredstva </w:t>
      </w:r>
    </w:p>
    <w:p w:rsidR="00402D6E" w:rsidRDefault="00402D6E" w:rsidP="00402D6E">
      <w:pPr>
        <w:pStyle w:val="Odlomakpopisa"/>
        <w:numPr>
          <w:ilvl w:val="0"/>
          <w:numId w:val="1"/>
        </w:numPr>
        <w:jc w:val="both"/>
        <w:rPr>
          <w:sz w:val="24"/>
          <w:szCs w:val="24"/>
        </w:rPr>
      </w:pPr>
      <w:r>
        <w:rPr>
          <w:sz w:val="24"/>
          <w:szCs w:val="24"/>
        </w:rPr>
        <w:t>Napuštati prostoriju u kojoj se testiranje odvija</w:t>
      </w:r>
    </w:p>
    <w:p w:rsidR="00402D6E" w:rsidRDefault="00402D6E" w:rsidP="00402D6E">
      <w:pPr>
        <w:pStyle w:val="Odlomakpopisa"/>
        <w:numPr>
          <w:ilvl w:val="0"/>
          <w:numId w:val="1"/>
        </w:numPr>
        <w:jc w:val="both"/>
        <w:rPr>
          <w:sz w:val="24"/>
          <w:szCs w:val="24"/>
        </w:rPr>
      </w:pPr>
      <w:r>
        <w:rPr>
          <w:sz w:val="24"/>
          <w:szCs w:val="24"/>
        </w:rPr>
        <w:t>Razgovarati s ostalim kandidatima</w:t>
      </w:r>
    </w:p>
    <w:p w:rsidR="00402D6E" w:rsidRDefault="00402D6E" w:rsidP="00402D6E">
      <w:pPr>
        <w:jc w:val="both"/>
        <w:rPr>
          <w:sz w:val="24"/>
          <w:szCs w:val="24"/>
        </w:rPr>
      </w:pPr>
    </w:p>
    <w:p w:rsidR="00402D6E" w:rsidRDefault="00402D6E" w:rsidP="00402D6E">
      <w:pPr>
        <w:jc w:val="both"/>
        <w:rPr>
          <w:sz w:val="24"/>
          <w:szCs w:val="24"/>
        </w:rPr>
      </w:pPr>
      <w:r>
        <w:rPr>
          <w:sz w:val="24"/>
          <w:szCs w:val="24"/>
        </w:rPr>
        <w:t>Ukoliko kandidat postupi suprotno pravilima procjene odnosno vrednovanja biti će udaljen, a njegov rezultat Posebno povjerenstvo za procjenu i vrednovanje kandidata za zapošljavanje neće priznati niti ocijeniti.</w:t>
      </w:r>
    </w:p>
    <w:p w:rsidR="00402D6E" w:rsidRDefault="00402D6E" w:rsidP="00402D6E">
      <w:pPr>
        <w:jc w:val="both"/>
        <w:rPr>
          <w:b/>
          <w:bCs/>
          <w:i/>
          <w:iCs/>
          <w:sz w:val="24"/>
          <w:szCs w:val="24"/>
        </w:rPr>
      </w:pPr>
    </w:p>
    <w:p w:rsidR="00402D6E" w:rsidRDefault="00402D6E" w:rsidP="00402D6E">
      <w:pPr>
        <w:jc w:val="both"/>
        <w:rPr>
          <w:b/>
          <w:bCs/>
          <w:i/>
          <w:iCs/>
          <w:sz w:val="24"/>
          <w:szCs w:val="24"/>
        </w:rPr>
      </w:pPr>
      <w:r w:rsidRPr="000C46EE">
        <w:rPr>
          <w:b/>
          <w:bCs/>
          <w:i/>
          <w:iCs/>
          <w:sz w:val="24"/>
          <w:szCs w:val="24"/>
        </w:rPr>
        <w:t>NAČIN TESTIRANJA:</w:t>
      </w:r>
    </w:p>
    <w:p w:rsidR="00402D6E" w:rsidRPr="0085669D" w:rsidRDefault="00402D6E" w:rsidP="00402D6E">
      <w:pPr>
        <w:jc w:val="both"/>
        <w:rPr>
          <w:rFonts w:ascii="Times New Roman" w:hAnsi="Times New Roman" w:cs="Times New Roman"/>
          <w:sz w:val="24"/>
          <w:szCs w:val="24"/>
        </w:rPr>
      </w:pPr>
      <w:r w:rsidRPr="0085669D">
        <w:rPr>
          <w:rFonts w:ascii="Times New Roman" w:hAnsi="Times New Roman" w:cs="Times New Roman"/>
          <w:sz w:val="24"/>
          <w:szCs w:val="24"/>
        </w:rPr>
        <w:t xml:space="preserve">Testiranje </w:t>
      </w:r>
      <w:r>
        <w:rPr>
          <w:rFonts w:ascii="Times New Roman" w:hAnsi="Times New Roman" w:cs="Times New Roman"/>
          <w:sz w:val="24"/>
          <w:szCs w:val="24"/>
        </w:rPr>
        <w:t xml:space="preserve">se sastoji od pismenog i usmenog </w:t>
      </w:r>
      <w:r w:rsidRPr="0085669D">
        <w:rPr>
          <w:rFonts w:ascii="Times New Roman" w:hAnsi="Times New Roman" w:cs="Times New Roman"/>
          <w:sz w:val="24"/>
          <w:szCs w:val="24"/>
        </w:rPr>
        <w:t xml:space="preserve"> testiranja.</w:t>
      </w:r>
    </w:p>
    <w:p w:rsidR="00402D6E" w:rsidRPr="0085669D" w:rsidRDefault="00402D6E" w:rsidP="00402D6E">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Pisani test se sastoji od ukupno </w:t>
      </w:r>
      <w:r>
        <w:rPr>
          <w:rFonts w:ascii="Times New Roman" w:hAnsi="Times New Roman" w:cs="Times New Roman"/>
          <w:sz w:val="24"/>
          <w:szCs w:val="24"/>
        </w:rPr>
        <w:t>20</w:t>
      </w:r>
      <w:r w:rsidRPr="0085669D">
        <w:rPr>
          <w:rFonts w:ascii="Times New Roman" w:hAnsi="Times New Roman" w:cs="Times New Roman"/>
          <w:sz w:val="24"/>
          <w:szCs w:val="24"/>
        </w:rPr>
        <w:t xml:space="preserve"> pitanja, a maksimalan broj bodova koji kandidati</w:t>
      </w:r>
    </w:p>
    <w:p w:rsidR="00402D6E" w:rsidRPr="0085669D" w:rsidRDefault="00402D6E" w:rsidP="00402D6E">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mogu ostvariti je </w:t>
      </w:r>
      <w:r>
        <w:rPr>
          <w:rFonts w:ascii="Times New Roman" w:hAnsi="Times New Roman" w:cs="Times New Roman"/>
          <w:sz w:val="24"/>
          <w:szCs w:val="24"/>
        </w:rPr>
        <w:t>100</w:t>
      </w:r>
      <w:r w:rsidRPr="0085669D">
        <w:rPr>
          <w:rFonts w:ascii="Times New Roman" w:hAnsi="Times New Roman" w:cs="Times New Roman"/>
          <w:sz w:val="24"/>
          <w:szCs w:val="24"/>
        </w:rPr>
        <w:t xml:space="preserve"> bodova. Uz svako pitanje iskazan je broj bodova</w:t>
      </w:r>
      <w:r>
        <w:rPr>
          <w:rFonts w:ascii="Times New Roman" w:hAnsi="Times New Roman" w:cs="Times New Roman"/>
          <w:sz w:val="24"/>
          <w:szCs w:val="24"/>
        </w:rPr>
        <w:t xml:space="preserve"> (od 0 do 5 bodova)</w:t>
      </w:r>
      <w:r w:rsidRPr="0085669D">
        <w:rPr>
          <w:rFonts w:ascii="Times New Roman" w:hAnsi="Times New Roman" w:cs="Times New Roman"/>
          <w:sz w:val="24"/>
          <w:szCs w:val="24"/>
        </w:rPr>
        <w:t>. Smatra se da su</w:t>
      </w:r>
      <w:r>
        <w:rPr>
          <w:rFonts w:ascii="Times New Roman" w:hAnsi="Times New Roman" w:cs="Times New Roman"/>
          <w:sz w:val="24"/>
          <w:szCs w:val="24"/>
        </w:rPr>
        <w:t xml:space="preserve"> </w:t>
      </w:r>
      <w:r w:rsidRPr="0085669D">
        <w:rPr>
          <w:rFonts w:ascii="Times New Roman" w:hAnsi="Times New Roman" w:cs="Times New Roman"/>
          <w:sz w:val="24"/>
          <w:szCs w:val="24"/>
        </w:rPr>
        <w:t xml:space="preserve">kandidati položili pisani </w:t>
      </w:r>
      <w:r>
        <w:rPr>
          <w:rFonts w:ascii="Times New Roman" w:hAnsi="Times New Roman" w:cs="Times New Roman"/>
          <w:sz w:val="24"/>
          <w:szCs w:val="24"/>
        </w:rPr>
        <w:t>test ako su ostvarili najmanje 6</w:t>
      </w:r>
      <w:r w:rsidRPr="0085669D">
        <w:rPr>
          <w:rFonts w:ascii="Times New Roman" w:hAnsi="Times New Roman" w:cs="Times New Roman"/>
          <w:sz w:val="24"/>
          <w:szCs w:val="24"/>
        </w:rPr>
        <w:t>0 % bodova na provedenom testiranju.</w:t>
      </w:r>
      <w:r>
        <w:rPr>
          <w:rFonts w:ascii="Times New Roman" w:hAnsi="Times New Roman" w:cs="Times New Roman"/>
          <w:sz w:val="24"/>
          <w:szCs w:val="24"/>
        </w:rPr>
        <w:t xml:space="preserve"> S kandidatima koji na pisanom testiranju ostvare najmanje 60% ukupnog broja bodova, Povjerenstvo će provesti usmeno testiranje i to samo sa prvih pet kandidata koji ostvare najveći broj bodova na pismenom testu stručnog znanja. Kandidati će biti pozvani na usmeno testiranje putem maila. Usmeno testiranje se boduje s najviše 15 bodova na način da svaki član Povjerenstva ima pravo postavljati do tri pitanja koja se vrednuju od strane svakog člana Povjerenstva bodovima od 0 do 5 koji se na kraju zbrajaju. </w:t>
      </w:r>
    </w:p>
    <w:p w:rsidR="00402D6E" w:rsidRDefault="00402D6E" w:rsidP="00402D6E">
      <w:pPr>
        <w:jc w:val="both"/>
        <w:rPr>
          <w:sz w:val="24"/>
          <w:szCs w:val="24"/>
        </w:rPr>
      </w:pPr>
    </w:p>
    <w:p w:rsidR="00402D6E" w:rsidRPr="0085669D" w:rsidRDefault="00402D6E" w:rsidP="00402D6E">
      <w:pPr>
        <w:jc w:val="both"/>
        <w:rPr>
          <w:rFonts w:ascii="Times New Roman" w:hAnsi="Times New Roman" w:cs="Times New Roman"/>
          <w:sz w:val="24"/>
          <w:szCs w:val="24"/>
        </w:rPr>
      </w:pPr>
      <w:r>
        <w:rPr>
          <w:sz w:val="24"/>
          <w:szCs w:val="24"/>
        </w:rPr>
        <w:t xml:space="preserve">Nakon obavljene procjene odnosno vrednovanja, Posebno povjerenstvo za procjenu i vrednovanje kandidata za zapošljavanje, utvrđuje rezultat procjene odnosno vrednovanja za svakog kandidata ,te utvrđuje rang listu od tri  kandidata koji ostvare najveći broj bodova. </w:t>
      </w:r>
      <w:r w:rsidRPr="0085669D">
        <w:rPr>
          <w:rFonts w:ascii="Times New Roman" w:hAnsi="Times New Roman" w:cs="Times New Roman"/>
          <w:sz w:val="24"/>
          <w:szCs w:val="24"/>
        </w:rPr>
        <w:t>Na temelju dostavljene rang liste kandidata</w:t>
      </w:r>
      <w:r>
        <w:rPr>
          <w:rFonts w:ascii="Times New Roman" w:hAnsi="Times New Roman" w:cs="Times New Roman"/>
          <w:sz w:val="24"/>
          <w:szCs w:val="24"/>
        </w:rPr>
        <w:t>,</w:t>
      </w:r>
      <w:r w:rsidRPr="0085669D">
        <w:rPr>
          <w:rFonts w:ascii="Times New Roman" w:hAnsi="Times New Roman" w:cs="Times New Roman"/>
          <w:sz w:val="24"/>
          <w:szCs w:val="24"/>
        </w:rPr>
        <w:t xml:space="preserve"> ravnatelj odlučuje kojeg će od tri najbolje rangirana kandidata predložiti Školskom odboru za zasnivanje radnog odnosa.</w:t>
      </w:r>
    </w:p>
    <w:p w:rsidR="00402D6E" w:rsidRDefault="00402D6E" w:rsidP="00402D6E">
      <w:pPr>
        <w:jc w:val="both"/>
        <w:rPr>
          <w:sz w:val="24"/>
          <w:szCs w:val="24"/>
        </w:rPr>
      </w:pPr>
      <w:r>
        <w:rPr>
          <w:sz w:val="24"/>
          <w:szCs w:val="24"/>
        </w:rPr>
        <w:t>Prije odluke o kandidatu za kojeg se traži prethodna suglasnost školskog odbora , ravnatelj može pozvati kandidata ili kandidate na razgovor.</w:t>
      </w:r>
    </w:p>
    <w:p w:rsidR="00402D6E" w:rsidRDefault="00402D6E" w:rsidP="00402D6E">
      <w:pPr>
        <w:jc w:val="both"/>
        <w:rPr>
          <w:sz w:val="24"/>
          <w:szCs w:val="24"/>
        </w:rPr>
      </w:pPr>
      <w:r>
        <w:rPr>
          <w:sz w:val="24"/>
          <w:szCs w:val="24"/>
        </w:rPr>
        <w:t>Pravni i drugi izvori za pripremu kandidata za procjenu odnosno vrednovanje :</w:t>
      </w:r>
    </w:p>
    <w:p w:rsidR="00402D6E" w:rsidRDefault="00402D6E" w:rsidP="00402D6E">
      <w:pPr>
        <w:jc w:val="both"/>
        <w:rPr>
          <w:sz w:val="24"/>
          <w:szCs w:val="24"/>
        </w:rPr>
      </w:pPr>
      <w:r>
        <w:rPr>
          <w:sz w:val="24"/>
          <w:szCs w:val="24"/>
        </w:rPr>
        <w:t xml:space="preserve">-za </w:t>
      </w:r>
      <w:r w:rsidRPr="00F17C0E">
        <w:rPr>
          <w:b/>
          <w:bCs/>
          <w:sz w:val="24"/>
          <w:szCs w:val="24"/>
        </w:rPr>
        <w:t>tajnika</w:t>
      </w:r>
      <w:r>
        <w:rPr>
          <w:b/>
          <w:bCs/>
          <w:sz w:val="24"/>
          <w:szCs w:val="24"/>
        </w:rPr>
        <w:t xml:space="preserve"> škole</w:t>
      </w:r>
      <w:r>
        <w:rPr>
          <w:sz w:val="24"/>
          <w:szCs w:val="24"/>
        </w:rPr>
        <w:t>:</w:t>
      </w:r>
    </w:p>
    <w:p w:rsidR="00402D6E" w:rsidRPr="005E712F" w:rsidRDefault="00402D6E" w:rsidP="00402D6E">
      <w:pPr>
        <w:pStyle w:val="Odlomakpopisa"/>
        <w:numPr>
          <w:ilvl w:val="0"/>
          <w:numId w:val="2"/>
        </w:numPr>
        <w:jc w:val="both"/>
        <w:rPr>
          <w:sz w:val="24"/>
          <w:szCs w:val="24"/>
        </w:rPr>
      </w:pPr>
      <w:r w:rsidRPr="005E712F">
        <w:rPr>
          <w:sz w:val="24"/>
          <w:szCs w:val="24"/>
        </w:rPr>
        <w:t>Zakon o odgoju i obrazovanju u osnovnoj i srednjoj školi(</w:t>
      </w:r>
      <w:bookmarkStart w:id="0" w:name="_Hlk33596567"/>
      <w:r w:rsidRPr="005E712F">
        <w:rPr>
          <w:rFonts w:ascii="Arial" w:hAnsi="Arial" w:cs="Arial"/>
          <w:color w:val="414145"/>
          <w:sz w:val="21"/>
          <w:szCs w:val="21"/>
          <w:shd w:val="clear" w:color="auto" w:fill="E4E4E7"/>
        </w:rPr>
        <w:t>NN </w:t>
      </w:r>
      <w:hyperlink r:id="rId5" w:history="1">
        <w:r w:rsidRPr="005E712F">
          <w:rPr>
            <w:rFonts w:ascii="Arial" w:hAnsi="Arial" w:cs="Arial"/>
            <w:b/>
            <w:bCs/>
            <w:color w:val="497FD7"/>
            <w:sz w:val="21"/>
            <w:szCs w:val="21"/>
            <w:u w:val="single"/>
            <w:shd w:val="clear" w:color="auto" w:fill="E4E4E7"/>
          </w:rPr>
          <w:t>87/08</w:t>
        </w:r>
      </w:hyperlink>
      <w:r w:rsidRPr="005E712F">
        <w:rPr>
          <w:rFonts w:ascii="Arial" w:hAnsi="Arial" w:cs="Arial"/>
          <w:color w:val="414145"/>
          <w:sz w:val="21"/>
          <w:szCs w:val="21"/>
          <w:shd w:val="clear" w:color="auto" w:fill="E4E4E7"/>
        </w:rPr>
        <w:t>, </w:t>
      </w:r>
      <w:hyperlink r:id="rId6" w:history="1">
        <w:r w:rsidRPr="005E712F">
          <w:rPr>
            <w:rFonts w:ascii="Arial" w:hAnsi="Arial" w:cs="Arial"/>
            <w:b/>
            <w:bCs/>
            <w:color w:val="497FD7"/>
            <w:sz w:val="21"/>
            <w:szCs w:val="21"/>
            <w:u w:val="single"/>
            <w:shd w:val="clear" w:color="auto" w:fill="E4E4E7"/>
          </w:rPr>
          <w:t>86/09</w:t>
        </w:r>
      </w:hyperlink>
      <w:r w:rsidRPr="005E712F">
        <w:rPr>
          <w:rFonts w:ascii="Arial" w:hAnsi="Arial" w:cs="Arial"/>
          <w:color w:val="414145"/>
          <w:sz w:val="21"/>
          <w:szCs w:val="21"/>
          <w:shd w:val="clear" w:color="auto" w:fill="E4E4E7"/>
        </w:rPr>
        <w:t>, </w:t>
      </w:r>
      <w:hyperlink r:id="rId7" w:history="1">
        <w:r w:rsidRPr="005E712F">
          <w:rPr>
            <w:rFonts w:ascii="Arial" w:hAnsi="Arial" w:cs="Arial"/>
            <w:b/>
            <w:bCs/>
            <w:color w:val="497FD7"/>
            <w:sz w:val="21"/>
            <w:szCs w:val="21"/>
            <w:u w:val="single"/>
            <w:shd w:val="clear" w:color="auto" w:fill="E4E4E7"/>
          </w:rPr>
          <w:t>92/10</w:t>
        </w:r>
      </w:hyperlink>
      <w:r w:rsidRPr="005E712F">
        <w:rPr>
          <w:rFonts w:ascii="Arial" w:hAnsi="Arial" w:cs="Arial"/>
          <w:color w:val="414145"/>
          <w:sz w:val="21"/>
          <w:szCs w:val="21"/>
          <w:shd w:val="clear" w:color="auto" w:fill="E4E4E7"/>
        </w:rPr>
        <w:t>, </w:t>
      </w:r>
      <w:hyperlink r:id="rId8" w:history="1">
        <w:r w:rsidRPr="005E712F">
          <w:rPr>
            <w:rFonts w:ascii="Arial" w:hAnsi="Arial" w:cs="Arial"/>
            <w:b/>
            <w:bCs/>
            <w:color w:val="497FD7"/>
            <w:sz w:val="21"/>
            <w:szCs w:val="21"/>
            <w:u w:val="single"/>
            <w:shd w:val="clear" w:color="auto" w:fill="E4E4E7"/>
          </w:rPr>
          <w:t>105/10</w:t>
        </w:r>
      </w:hyperlink>
      <w:r w:rsidRPr="005E712F">
        <w:rPr>
          <w:rFonts w:ascii="Arial" w:hAnsi="Arial" w:cs="Arial"/>
          <w:color w:val="414145"/>
          <w:sz w:val="21"/>
          <w:szCs w:val="21"/>
          <w:shd w:val="clear" w:color="auto" w:fill="E4E4E7"/>
        </w:rPr>
        <w:t>, </w:t>
      </w:r>
      <w:hyperlink r:id="rId9" w:history="1">
        <w:r w:rsidRPr="005E712F">
          <w:rPr>
            <w:rFonts w:ascii="Arial" w:hAnsi="Arial" w:cs="Arial"/>
            <w:b/>
            <w:bCs/>
            <w:color w:val="497FD7"/>
            <w:sz w:val="21"/>
            <w:szCs w:val="21"/>
            <w:u w:val="single"/>
            <w:shd w:val="clear" w:color="auto" w:fill="E4E4E7"/>
          </w:rPr>
          <w:t>90/11</w:t>
        </w:r>
      </w:hyperlink>
      <w:r w:rsidRPr="005E712F">
        <w:rPr>
          <w:rFonts w:ascii="Arial" w:hAnsi="Arial" w:cs="Arial"/>
          <w:color w:val="414145"/>
          <w:sz w:val="21"/>
          <w:szCs w:val="21"/>
          <w:shd w:val="clear" w:color="auto" w:fill="E4E4E7"/>
        </w:rPr>
        <w:t>, </w:t>
      </w:r>
      <w:hyperlink r:id="rId10" w:history="1">
        <w:r w:rsidRPr="005E712F">
          <w:rPr>
            <w:rFonts w:ascii="Arial" w:hAnsi="Arial" w:cs="Arial"/>
            <w:b/>
            <w:bCs/>
            <w:color w:val="497FD7"/>
            <w:sz w:val="21"/>
            <w:szCs w:val="21"/>
            <w:u w:val="single"/>
            <w:shd w:val="clear" w:color="auto" w:fill="E4E4E7"/>
          </w:rPr>
          <w:t>5/12</w:t>
        </w:r>
      </w:hyperlink>
      <w:r w:rsidRPr="005E712F">
        <w:rPr>
          <w:rFonts w:ascii="Arial" w:hAnsi="Arial" w:cs="Arial"/>
          <w:color w:val="414145"/>
          <w:sz w:val="21"/>
          <w:szCs w:val="21"/>
          <w:shd w:val="clear" w:color="auto" w:fill="E4E4E7"/>
        </w:rPr>
        <w:t>, </w:t>
      </w:r>
      <w:hyperlink r:id="rId11" w:history="1">
        <w:r w:rsidRPr="005E712F">
          <w:rPr>
            <w:rFonts w:ascii="Arial" w:hAnsi="Arial" w:cs="Arial"/>
            <w:b/>
            <w:bCs/>
            <w:color w:val="497FD7"/>
            <w:sz w:val="21"/>
            <w:szCs w:val="21"/>
            <w:u w:val="single"/>
            <w:shd w:val="clear" w:color="auto" w:fill="E4E4E7"/>
          </w:rPr>
          <w:t>16/12</w:t>
        </w:r>
      </w:hyperlink>
      <w:r w:rsidRPr="005E712F">
        <w:rPr>
          <w:rFonts w:ascii="Arial" w:hAnsi="Arial" w:cs="Arial"/>
          <w:color w:val="414145"/>
          <w:sz w:val="21"/>
          <w:szCs w:val="21"/>
          <w:shd w:val="clear" w:color="auto" w:fill="E4E4E7"/>
        </w:rPr>
        <w:t>, </w:t>
      </w:r>
      <w:hyperlink r:id="rId12" w:history="1">
        <w:r w:rsidRPr="005E712F">
          <w:rPr>
            <w:rFonts w:ascii="Arial" w:hAnsi="Arial" w:cs="Arial"/>
            <w:b/>
            <w:bCs/>
            <w:color w:val="497FD7"/>
            <w:sz w:val="21"/>
            <w:szCs w:val="21"/>
            <w:u w:val="single"/>
            <w:shd w:val="clear" w:color="auto" w:fill="E4E4E7"/>
          </w:rPr>
          <w:t>86/12</w:t>
        </w:r>
      </w:hyperlink>
      <w:r w:rsidRPr="005E712F">
        <w:rPr>
          <w:rFonts w:ascii="Arial" w:hAnsi="Arial" w:cs="Arial"/>
          <w:color w:val="414145"/>
          <w:sz w:val="21"/>
          <w:szCs w:val="21"/>
          <w:shd w:val="clear" w:color="auto" w:fill="E4E4E7"/>
        </w:rPr>
        <w:t>, </w:t>
      </w:r>
      <w:hyperlink r:id="rId13" w:history="1">
        <w:r w:rsidRPr="005E712F">
          <w:rPr>
            <w:rFonts w:ascii="Arial" w:hAnsi="Arial" w:cs="Arial"/>
            <w:b/>
            <w:bCs/>
            <w:color w:val="497FD7"/>
            <w:sz w:val="21"/>
            <w:szCs w:val="21"/>
            <w:u w:val="single"/>
            <w:shd w:val="clear" w:color="auto" w:fill="E4E4E7"/>
          </w:rPr>
          <w:t>126/12</w:t>
        </w:r>
      </w:hyperlink>
      <w:r w:rsidRPr="005E712F">
        <w:rPr>
          <w:rFonts w:ascii="Arial" w:hAnsi="Arial" w:cs="Arial"/>
          <w:color w:val="414145"/>
          <w:sz w:val="21"/>
          <w:szCs w:val="21"/>
          <w:shd w:val="clear" w:color="auto" w:fill="E4E4E7"/>
        </w:rPr>
        <w:t>, </w:t>
      </w:r>
      <w:hyperlink r:id="rId14" w:history="1">
        <w:r w:rsidRPr="005E712F">
          <w:rPr>
            <w:rFonts w:ascii="Arial" w:hAnsi="Arial" w:cs="Arial"/>
            <w:b/>
            <w:bCs/>
            <w:color w:val="497FD7"/>
            <w:sz w:val="21"/>
            <w:szCs w:val="21"/>
            <w:u w:val="single"/>
            <w:shd w:val="clear" w:color="auto" w:fill="E4E4E7"/>
          </w:rPr>
          <w:t>94/13</w:t>
        </w:r>
      </w:hyperlink>
      <w:r w:rsidRPr="005E712F">
        <w:rPr>
          <w:rFonts w:ascii="Arial" w:hAnsi="Arial" w:cs="Arial"/>
          <w:color w:val="414145"/>
          <w:sz w:val="21"/>
          <w:szCs w:val="21"/>
          <w:shd w:val="clear" w:color="auto" w:fill="E4E4E7"/>
        </w:rPr>
        <w:t>, </w:t>
      </w:r>
      <w:hyperlink r:id="rId15" w:history="1">
        <w:r w:rsidRPr="005E712F">
          <w:rPr>
            <w:rFonts w:ascii="Arial" w:hAnsi="Arial" w:cs="Arial"/>
            <w:b/>
            <w:bCs/>
            <w:color w:val="497FD7"/>
            <w:sz w:val="21"/>
            <w:szCs w:val="21"/>
            <w:u w:val="single"/>
            <w:shd w:val="clear" w:color="auto" w:fill="E4E4E7"/>
          </w:rPr>
          <w:t>152/14</w:t>
        </w:r>
      </w:hyperlink>
      <w:r w:rsidRPr="005E712F">
        <w:rPr>
          <w:rFonts w:ascii="Arial" w:hAnsi="Arial" w:cs="Arial"/>
          <w:color w:val="414145"/>
          <w:sz w:val="21"/>
          <w:szCs w:val="21"/>
          <w:shd w:val="clear" w:color="auto" w:fill="E4E4E7"/>
        </w:rPr>
        <w:t>, </w:t>
      </w:r>
      <w:hyperlink r:id="rId16" w:history="1">
        <w:r w:rsidRPr="005E712F">
          <w:rPr>
            <w:rFonts w:ascii="Arial" w:hAnsi="Arial" w:cs="Arial"/>
            <w:b/>
            <w:bCs/>
            <w:color w:val="497FD7"/>
            <w:sz w:val="21"/>
            <w:szCs w:val="21"/>
            <w:u w:val="single"/>
            <w:shd w:val="clear" w:color="auto" w:fill="E4E4E7"/>
          </w:rPr>
          <w:t>07/17</w:t>
        </w:r>
      </w:hyperlink>
      <w:r w:rsidRPr="005E712F">
        <w:rPr>
          <w:rFonts w:ascii="Arial" w:hAnsi="Arial" w:cs="Arial"/>
          <w:color w:val="414145"/>
          <w:sz w:val="21"/>
          <w:szCs w:val="21"/>
          <w:shd w:val="clear" w:color="auto" w:fill="E4E4E7"/>
        </w:rPr>
        <w:t>, </w:t>
      </w:r>
      <w:hyperlink r:id="rId17" w:tgtFrame="_blank" w:history="1">
        <w:r w:rsidRPr="005E712F">
          <w:rPr>
            <w:rFonts w:ascii="Arial" w:hAnsi="Arial" w:cs="Arial"/>
            <w:b/>
            <w:bCs/>
            <w:color w:val="3B69B7"/>
            <w:sz w:val="21"/>
            <w:szCs w:val="21"/>
            <w:u w:val="single"/>
            <w:shd w:val="clear" w:color="auto" w:fill="E4E4E7"/>
          </w:rPr>
          <w:t>68/18</w:t>
        </w:r>
      </w:hyperlink>
      <w:r w:rsidRPr="005E712F">
        <w:rPr>
          <w:rFonts w:ascii="Arial" w:hAnsi="Arial" w:cs="Arial"/>
          <w:color w:val="414145"/>
          <w:sz w:val="21"/>
          <w:szCs w:val="21"/>
          <w:shd w:val="clear" w:color="auto" w:fill="E4E4E7"/>
        </w:rPr>
        <w:t>, </w:t>
      </w:r>
      <w:hyperlink r:id="rId18" w:tgtFrame="_blank" w:history="1">
        <w:r w:rsidRPr="005E712F">
          <w:rPr>
            <w:rFonts w:ascii="Arial" w:hAnsi="Arial" w:cs="Arial"/>
            <w:b/>
            <w:bCs/>
            <w:color w:val="497FD7"/>
            <w:sz w:val="21"/>
            <w:szCs w:val="21"/>
            <w:u w:val="single"/>
            <w:shd w:val="clear" w:color="auto" w:fill="E4E4E7"/>
          </w:rPr>
          <w:t>98/19</w:t>
        </w:r>
      </w:hyperlink>
      <w:r>
        <w:rPr>
          <w:rFonts w:ascii="Arial" w:hAnsi="Arial" w:cs="Arial"/>
          <w:b/>
          <w:bCs/>
          <w:color w:val="497FD7"/>
          <w:sz w:val="21"/>
          <w:szCs w:val="21"/>
          <w:u w:val="single"/>
          <w:shd w:val="clear" w:color="auto" w:fill="E4E4E7"/>
        </w:rPr>
        <w:t>, 64/20</w:t>
      </w:r>
      <w:r>
        <w:t>)</w:t>
      </w:r>
    </w:p>
    <w:bookmarkEnd w:id="0"/>
    <w:p w:rsidR="00402D6E" w:rsidRPr="005E712F" w:rsidRDefault="00402D6E" w:rsidP="00402D6E">
      <w:pPr>
        <w:pStyle w:val="Odlomakpopisa"/>
        <w:numPr>
          <w:ilvl w:val="0"/>
          <w:numId w:val="2"/>
        </w:numPr>
        <w:jc w:val="both"/>
        <w:rPr>
          <w:sz w:val="24"/>
          <w:szCs w:val="24"/>
        </w:rPr>
      </w:pPr>
      <w:r>
        <w:rPr>
          <w:sz w:val="24"/>
          <w:szCs w:val="24"/>
        </w:rPr>
        <w:t xml:space="preserve"> Zakon o radu ( </w:t>
      </w:r>
      <w:r w:rsidRPr="005E712F">
        <w:rPr>
          <w:color w:val="414145"/>
          <w:sz w:val="27"/>
          <w:szCs w:val="27"/>
          <w:shd w:val="clear" w:color="auto" w:fill="E4E4E7"/>
        </w:rPr>
        <w:t>NN </w:t>
      </w:r>
      <w:hyperlink r:id="rId19" w:history="1">
        <w:r w:rsidRPr="005E712F">
          <w:rPr>
            <w:b/>
            <w:bCs/>
            <w:color w:val="3B69B7"/>
            <w:sz w:val="21"/>
            <w:szCs w:val="21"/>
            <w:u w:val="single"/>
            <w:shd w:val="clear" w:color="auto" w:fill="E4E4E7"/>
          </w:rPr>
          <w:t>93/14</w:t>
        </w:r>
      </w:hyperlink>
      <w:r w:rsidRPr="005E712F">
        <w:rPr>
          <w:color w:val="414145"/>
          <w:sz w:val="21"/>
          <w:szCs w:val="21"/>
          <w:shd w:val="clear" w:color="auto" w:fill="E4E4E7"/>
        </w:rPr>
        <w:t>, </w:t>
      </w:r>
      <w:hyperlink r:id="rId20" w:history="1">
        <w:r w:rsidRPr="005E712F">
          <w:rPr>
            <w:b/>
            <w:bCs/>
            <w:color w:val="497FD7"/>
            <w:sz w:val="21"/>
            <w:szCs w:val="21"/>
            <w:u w:val="single"/>
          </w:rPr>
          <w:t>127/17</w:t>
        </w:r>
      </w:hyperlink>
      <w:r w:rsidRPr="005E712F">
        <w:rPr>
          <w:color w:val="414145"/>
          <w:sz w:val="21"/>
          <w:szCs w:val="21"/>
          <w:shd w:val="clear" w:color="auto" w:fill="E4E4E7"/>
        </w:rPr>
        <w:t>, </w:t>
      </w:r>
      <w:hyperlink r:id="rId21" w:tgtFrame="_blank" w:history="1">
        <w:r w:rsidRPr="005E712F">
          <w:rPr>
            <w:b/>
            <w:bCs/>
            <w:color w:val="497FD7"/>
            <w:sz w:val="21"/>
            <w:szCs w:val="21"/>
            <w:u w:val="single"/>
          </w:rPr>
          <w:t>98/19</w:t>
        </w:r>
      </w:hyperlink>
      <w:r>
        <w:rPr>
          <w:color w:val="414145"/>
          <w:sz w:val="21"/>
          <w:szCs w:val="21"/>
          <w:shd w:val="clear" w:color="auto" w:fill="E4E4E7"/>
        </w:rPr>
        <w:t xml:space="preserve"> )</w:t>
      </w:r>
    </w:p>
    <w:p w:rsidR="00402D6E" w:rsidRPr="000E7457" w:rsidRDefault="00402D6E" w:rsidP="00402D6E">
      <w:pPr>
        <w:pStyle w:val="Odlomakpopisa"/>
        <w:numPr>
          <w:ilvl w:val="0"/>
          <w:numId w:val="2"/>
        </w:numPr>
        <w:jc w:val="both"/>
        <w:rPr>
          <w:sz w:val="24"/>
          <w:szCs w:val="24"/>
        </w:rPr>
      </w:pPr>
      <w:r w:rsidRPr="00D83AC9">
        <w:rPr>
          <w:color w:val="414145"/>
          <w:sz w:val="24"/>
          <w:szCs w:val="24"/>
          <w:shd w:val="clear" w:color="auto" w:fill="E4E4E7"/>
        </w:rPr>
        <w:lastRenderedPageBreak/>
        <w:t>Kolektivni ugovor za zaposlenike u osnovnoškolskim ustanovama ( 51/18</w:t>
      </w:r>
      <w:r>
        <w:rPr>
          <w:color w:val="414145"/>
          <w:sz w:val="21"/>
          <w:szCs w:val="21"/>
          <w:shd w:val="clear" w:color="auto" w:fill="E4E4E7"/>
        </w:rPr>
        <w:t>)</w:t>
      </w:r>
    </w:p>
    <w:p w:rsidR="00402D6E" w:rsidRPr="000E7457" w:rsidRDefault="00402D6E" w:rsidP="00402D6E">
      <w:pPr>
        <w:pStyle w:val="Odlomakpopisa"/>
        <w:numPr>
          <w:ilvl w:val="0"/>
          <w:numId w:val="2"/>
        </w:numPr>
        <w:jc w:val="both"/>
        <w:rPr>
          <w:rStyle w:val="Naglaeno"/>
          <w:b w:val="0"/>
          <w:bCs w:val="0"/>
          <w:sz w:val="24"/>
          <w:szCs w:val="24"/>
        </w:rPr>
      </w:pPr>
      <w:r>
        <w:rPr>
          <w:sz w:val="24"/>
          <w:szCs w:val="24"/>
        </w:rPr>
        <w:t xml:space="preserve">Temeljni kolektivni ugovor za službenike i namještenike u javnim službama( NN </w:t>
      </w:r>
      <w:r>
        <w:rPr>
          <w:color w:val="000000"/>
          <w:sz w:val="27"/>
          <w:szCs w:val="27"/>
        </w:rPr>
        <w:t xml:space="preserve">broj </w:t>
      </w:r>
      <w:r>
        <w:rPr>
          <w:color w:val="000000"/>
          <w:sz w:val="24"/>
          <w:szCs w:val="24"/>
        </w:rPr>
        <w:t>128/17</w:t>
      </w:r>
      <w:r w:rsidRPr="00D83AC9">
        <w:rPr>
          <w:color w:val="000000"/>
          <w:sz w:val="24"/>
          <w:szCs w:val="24"/>
        </w:rPr>
        <w:t>, 47/18</w:t>
      </w:r>
      <w:r>
        <w:rPr>
          <w:color w:val="000000"/>
          <w:sz w:val="24"/>
          <w:szCs w:val="24"/>
        </w:rPr>
        <w:t>, 2/19,</w:t>
      </w:r>
      <w:r w:rsidRPr="00D83AC9">
        <w:rPr>
          <w:color w:val="000000"/>
          <w:sz w:val="24"/>
          <w:szCs w:val="24"/>
        </w:rPr>
        <w:t> </w:t>
      </w:r>
      <w:r w:rsidRPr="00D83AC9">
        <w:rPr>
          <w:rStyle w:val="Naglaeno"/>
          <w:b w:val="0"/>
          <w:bCs w:val="0"/>
          <w:color w:val="000000"/>
          <w:sz w:val="24"/>
          <w:szCs w:val="24"/>
        </w:rPr>
        <w:t>123/19</w:t>
      </w:r>
      <w:r>
        <w:rPr>
          <w:rStyle w:val="Naglaeno"/>
          <w:b w:val="0"/>
          <w:bCs w:val="0"/>
          <w:color w:val="000000"/>
          <w:sz w:val="24"/>
          <w:szCs w:val="24"/>
        </w:rPr>
        <w:t xml:space="preserve"> i 66/20</w:t>
      </w:r>
      <w:r w:rsidRPr="00D83AC9">
        <w:rPr>
          <w:rStyle w:val="Naglaeno"/>
          <w:b w:val="0"/>
          <w:bCs w:val="0"/>
          <w:color w:val="000000"/>
          <w:sz w:val="24"/>
          <w:szCs w:val="24"/>
        </w:rPr>
        <w:t>)</w:t>
      </w:r>
    </w:p>
    <w:p w:rsidR="00402D6E" w:rsidRPr="000C46EE" w:rsidRDefault="00402D6E" w:rsidP="00402D6E">
      <w:pPr>
        <w:pStyle w:val="Odlomakpopisa"/>
        <w:numPr>
          <w:ilvl w:val="0"/>
          <w:numId w:val="2"/>
        </w:numPr>
        <w:jc w:val="both"/>
        <w:rPr>
          <w:rStyle w:val="Naglaeno"/>
          <w:b w:val="0"/>
          <w:bCs w:val="0"/>
          <w:sz w:val="24"/>
          <w:szCs w:val="24"/>
        </w:rPr>
      </w:pPr>
      <w:r w:rsidRPr="000C46EE">
        <w:rPr>
          <w:rStyle w:val="Naglaeno"/>
          <w:b w:val="0"/>
          <w:bCs w:val="0"/>
          <w:color w:val="000000"/>
          <w:sz w:val="24"/>
          <w:szCs w:val="24"/>
        </w:rPr>
        <w:t xml:space="preserve">Pravilnik o djelokrugu rada tajnika te administrativno-tehničkim i pomoćnim poslovima koji se obavljaju u osnovnoj školi( NN 40/14) </w:t>
      </w:r>
    </w:p>
    <w:p w:rsidR="00402D6E" w:rsidRPr="00EA6F25" w:rsidRDefault="00402D6E" w:rsidP="00402D6E">
      <w:pPr>
        <w:pStyle w:val="Odlomakpopisa"/>
        <w:numPr>
          <w:ilvl w:val="0"/>
          <w:numId w:val="2"/>
        </w:numPr>
        <w:jc w:val="both"/>
        <w:rPr>
          <w:sz w:val="24"/>
          <w:szCs w:val="24"/>
        </w:rPr>
      </w:pPr>
      <w:r>
        <w:rPr>
          <w:sz w:val="24"/>
          <w:szCs w:val="24"/>
        </w:rPr>
        <w:t xml:space="preserve">Statut OŠ Neorić-Sutina </w:t>
      </w:r>
      <w:proofErr w:type="spellStart"/>
      <w:r>
        <w:rPr>
          <w:sz w:val="24"/>
          <w:szCs w:val="24"/>
        </w:rPr>
        <w:t>Neorić</w:t>
      </w:r>
      <w:proofErr w:type="spellEnd"/>
      <w:r>
        <w:rPr>
          <w:sz w:val="24"/>
          <w:szCs w:val="24"/>
        </w:rPr>
        <w:t xml:space="preserve"> (</w:t>
      </w:r>
      <w:hyperlink r:id="rId22" w:history="1">
        <w:r w:rsidRPr="006B3F79">
          <w:rPr>
            <w:rStyle w:val="Hiperveza"/>
            <w:rFonts w:ascii="Times New Roman" w:eastAsia="Times New Roman" w:hAnsi="Times New Roman" w:cs="Times New Roman"/>
            <w:sz w:val="24"/>
            <w:szCs w:val="24"/>
            <w:lang w:eastAsia="hr-HR"/>
          </w:rPr>
          <w:t>http://os-neoric-sutina.skole.hr</w:t>
        </w:r>
      </w:hyperlink>
      <w:r>
        <w:t xml:space="preserve"> )</w:t>
      </w:r>
    </w:p>
    <w:p w:rsidR="00402D6E" w:rsidRPr="00EA6F25" w:rsidRDefault="00402D6E" w:rsidP="00402D6E">
      <w:pPr>
        <w:pStyle w:val="Odlomakpopisa"/>
        <w:numPr>
          <w:ilvl w:val="0"/>
          <w:numId w:val="2"/>
        </w:numPr>
        <w:jc w:val="both"/>
        <w:rPr>
          <w:sz w:val="24"/>
          <w:szCs w:val="24"/>
        </w:rPr>
      </w:pPr>
      <w:r>
        <w:rPr>
          <w:sz w:val="24"/>
          <w:szCs w:val="24"/>
        </w:rPr>
        <w:t xml:space="preserve">Pravilnik jednostavne nabave OŠ Neorić-Sutina, </w:t>
      </w:r>
      <w:proofErr w:type="spellStart"/>
      <w:r>
        <w:rPr>
          <w:sz w:val="24"/>
          <w:szCs w:val="24"/>
        </w:rPr>
        <w:t>Neorić</w:t>
      </w:r>
      <w:proofErr w:type="spellEnd"/>
      <w:r>
        <w:rPr>
          <w:sz w:val="24"/>
          <w:szCs w:val="24"/>
        </w:rPr>
        <w:t xml:space="preserve"> (</w:t>
      </w:r>
      <w:hyperlink r:id="rId23" w:history="1">
        <w:r w:rsidRPr="006B3F79">
          <w:rPr>
            <w:rStyle w:val="Hiperveza"/>
            <w:rFonts w:ascii="Times New Roman" w:eastAsia="Times New Roman" w:hAnsi="Times New Roman" w:cs="Times New Roman"/>
            <w:sz w:val="24"/>
            <w:szCs w:val="24"/>
            <w:lang w:eastAsia="hr-HR"/>
          </w:rPr>
          <w:t>http://os-neoric-sutina.skole.hr</w:t>
        </w:r>
      </w:hyperlink>
      <w:r>
        <w:t>) .</w:t>
      </w:r>
    </w:p>
    <w:p w:rsidR="00402D6E" w:rsidRDefault="00402D6E" w:rsidP="00402D6E">
      <w:pPr>
        <w:jc w:val="both"/>
        <w:rPr>
          <w:sz w:val="24"/>
          <w:szCs w:val="24"/>
        </w:rPr>
      </w:pPr>
    </w:p>
    <w:p w:rsidR="00402D6E" w:rsidRDefault="00402D6E" w:rsidP="00402D6E">
      <w:pPr>
        <w:ind w:left="3540"/>
        <w:jc w:val="both"/>
        <w:rPr>
          <w:sz w:val="24"/>
          <w:szCs w:val="24"/>
        </w:rPr>
      </w:pPr>
    </w:p>
    <w:p w:rsidR="00402D6E" w:rsidRDefault="00402D6E" w:rsidP="00402D6E">
      <w:pPr>
        <w:ind w:left="3540"/>
        <w:jc w:val="both"/>
        <w:rPr>
          <w:sz w:val="24"/>
          <w:szCs w:val="24"/>
        </w:rPr>
      </w:pPr>
    </w:p>
    <w:p w:rsidR="00402D6E" w:rsidRDefault="00402D6E" w:rsidP="00402D6E">
      <w:pPr>
        <w:ind w:left="3540"/>
        <w:jc w:val="both"/>
        <w:rPr>
          <w:sz w:val="24"/>
          <w:szCs w:val="24"/>
        </w:rPr>
      </w:pPr>
    </w:p>
    <w:p w:rsidR="00402D6E" w:rsidRDefault="00402D6E" w:rsidP="00402D6E">
      <w:pPr>
        <w:ind w:left="3540"/>
        <w:jc w:val="both"/>
      </w:pPr>
      <w:r>
        <w:t xml:space="preserve">POSEBNO POVJERENSTVO ZA PROCJENU I VREDNOVANJE </w:t>
      </w:r>
    </w:p>
    <w:p w:rsidR="00402D6E" w:rsidRDefault="00402D6E" w:rsidP="00402D6E">
      <w:pPr>
        <w:ind w:left="2832" w:firstLine="708"/>
        <w:jc w:val="both"/>
      </w:pPr>
      <w:r>
        <w:t xml:space="preserve">KANDIDATA ZA ZAPOŠLJAVANJE </w:t>
      </w:r>
    </w:p>
    <w:p w:rsidR="00402D6E" w:rsidRDefault="00402D6E" w:rsidP="00402D6E">
      <w:pPr>
        <w:ind w:left="2832" w:firstLine="708"/>
        <w:jc w:val="both"/>
      </w:pPr>
      <w:r>
        <w:t>Predsjednik Povjerenstva:</w:t>
      </w:r>
    </w:p>
    <w:p w:rsidR="00402D6E" w:rsidRDefault="00402D6E" w:rsidP="00402D6E">
      <w:pPr>
        <w:ind w:left="2832" w:firstLine="708"/>
        <w:jc w:val="both"/>
      </w:pPr>
      <w:r>
        <w:t>Nada Dundović</w:t>
      </w:r>
    </w:p>
    <w:p w:rsidR="00402D6E" w:rsidRDefault="00402D6E" w:rsidP="00402D6E">
      <w:pPr>
        <w:ind w:left="2832" w:firstLine="708"/>
        <w:jc w:val="both"/>
      </w:pPr>
    </w:p>
    <w:p w:rsidR="00402D6E" w:rsidRDefault="00402D6E" w:rsidP="00402D6E">
      <w:pPr>
        <w:jc w:val="both"/>
      </w:pPr>
      <w:r>
        <w:rPr>
          <w:noProof/>
          <w:lang w:val="en-US"/>
        </w:rPr>
        <mc:AlternateContent>
          <mc:Choice Requires="wps">
            <w:drawing>
              <wp:anchor distT="0" distB="0" distL="114300" distR="114300" simplePos="0" relativeHeight="251659264" behindDoc="0" locked="0" layoutInCell="1" allowOverlap="1" wp14:anchorId="1A1E216B" wp14:editId="10F4CBEF">
                <wp:simplePos x="0" y="0"/>
                <wp:positionH relativeFrom="column">
                  <wp:posOffset>2100580</wp:posOffset>
                </wp:positionH>
                <wp:positionV relativeFrom="paragraph">
                  <wp:posOffset>11430</wp:posOffset>
                </wp:positionV>
                <wp:extent cx="1952625" cy="0"/>
                <wp:effectExtent l="0" t="0" r="0" b="0"/>
                <wp:wrapNone/>
                <wp:docPr id="1" name="Ravni poveznik 1"/>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C79C2" id="Ravni poveznik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9pt" to="3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" strokecolor="black [3200]" strokeweight=".5pt">
                <v:stroke joinstyle="miter"/>
              </v:line>
            </w:pict>
          </mc:Fallback>
        </mc:AlternateContent>
      </w:r>
    </w:p>
    <w:p w:rsidR="00402D6E" w:rsidRDefault="00402D6E" w:rsidP="00402D6E">
      <w:pPr>
        <w:jc w:val="both"/>
      </w:pPr>
    </w:p>
    <w:p w:rsidR="00402D6E" w:rsidRDefault="00402D6E" w:rsidP="00402D6E">
      <w:pPr>
        <w:jc w:val="both"/>
      </w:pPr>
    </w:p>
    <w:p w:rsidR="00402D6E" w:rsidRDefault="00402D6E" w:rsidP="00402D6E">
      <w:pPr>
        <w:jc w:val="both"/>
      </w:pPr>
    </w:p>
    <w:p w:rsidR="00402D6E" w:rsidRDefault="00402D6E" w:rsidP="00402D6E">
      <w:pPr>
        <w:jc w:val="both"/>
      </w:pPr>
      <w:r>
        <w:t>Dostaviti:</w:t>
      </w:r>
    </w:p>
    <w:p w:rsidR="00402D6E" w:rsidRDefault="00402D6E" w:rsidP="00402D6E">
      <w:pPr>
        <w:pStyle w:val="Odlomakpopisa"/>
        <w:numPr>
          <w:ilvl w:val="0"/>
          <w:numId w:val="3"/>
        </w:numPr>
        <w:jc w:val="both"/>
      </w:pPr>
      <w:r>
        <w:t>Oglasna ploča škole i mrežna stranica škole</w:t>
      </w:r>
    </w:p>
    <w:p w:rsidR="00402D6E" w:rsidRPr="000A26AF" w:rsidRDefault="00402D6E" w:rsidP="00402D6E">
      <w:pPr>
        <w:pStyle w:val="Odlomakpopisa"/>
        <w:numPr>
          <w:ilvl w:val="0"/>
          <w:numId w:val="3"/>
        </w:numPr>
        <w:jc w:val="both"/>
      </w:pPr>
      <w:r>
        <w:t xml:space="preserve">Arhiva škole </w:t>
      </w:r>
    </w:p>
    <w:p w:rsidR="00402D6E" w:rsidRPr="00DE3CC0" w:rsidRDefault="00402D6E" w:rsidP="00402D6E">
      <w:pPr>
        <w:jc w:val="both"/>
        <w:rPr>
          <w:sz w:val="24"/>
          <w:szCs w:val="24"/>
        </w:rPr>
      </w:pPr>
    </w:p>
    <w:p w:rsidR="00402D6E" w:rsidRDefault="00402D6E" w:rsidP="00402D6E">
      <w:pPr>
        <w:jc w:val="center"/>
        <w:rPr>
          <w:b/>
          <w:bCs/>
          <w:i/>
          <w:iCs/>
          <w:u w:val="single"/>
        </w:rPr>
      </w:pPr>
      <w:r>
        <w:rPr>
          <w:b/>
          <w:bCs/>
          <w:i/>
          <w:iCs/>
          <w:u w:val="single"/>
        </w:rPr>
        <w:t xml:space="preserve"> </w:t>
      </w:r>
      <w:bookmarkStart w:id="1" w:name="_GoBack"/>
      <w:bookmarkEnd w:id="1"/>
    </w:p>
    <w:p w:rsidR="00402D6E" w:rsidRPr="00DE3CC0" w:rsidRDefault="00402D6E" w:rsidP="00402D6E"/>
    <w:p w:rsidR="00A85CB6" w:rsidRDefault="00A85CB6"/>
    <w:sectPr w:rsidR="00A8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E"/>
    <w:rsid w:val="00402D6E"/>
    <w:rsid w:val="00A8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855D"/>
  <w15:chartTrackingRefBased/>
  <w15:docId w15:val="{B152C196-8170-454F-8C53-FB040AEF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6E"/>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2D6E"/>
    <w:pPr>
      <w:ind w:left="720"/>
      <w:contextualSpacing/>
    </w:pPr>
  </w:style>
  <w:style w:type="character" w:styleId="Hiperveza">
    <w:name w:val="Hyperlink"/>
    <w:basedOn w:val="Zadanifontodlomka"/>
    <w:uiPriority w:val="99"/>
    <w:semiHidden/>
    <w:unhideWhenUsed/>
    <w:rsid w:val="00402D6E"/>
    <w:rPr>
      <w:color w:val="0000FF"/>
      <w:u w:val="single"/>
    </w:rPr>
  </w:style>
  <w:style w:type="character" w:styleId="Naglaeno">
    <w:name w:val="Strong"/>
    <w:basedOn w:val="Zadanifontodlomka"/>
    <w:uiPriority w:val="22"/>
    <w:qFormat/>
    <w:rsid w:val="0040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openxmlformats.org/officeDocument/2006/relationships/hyperlink" Target="https://www.zakon.hr/cms.htm?id=40775" TargetMode="Externa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hyperlink" Target="https://www.zakon.hr/cms.htm?id=26183"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24" Type="http://schemas.openxmlformats.org/officeDocument/2006/relationships/fontTable" Target="fontTable.xm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23" Type="http://schemas.openxmlformats.org/officeDocument/2006/relationships/hyperlink" Target="http://os-neoric-sutina.skole.hr" TargetMode="External"/><Relationship Id="rId10" Type="http://schemas.openxmlformats.org/officeDocument/2006/relationships/hyperlink" Target="https://www.zakon.hr/cms.htm?id=71" TargetMode="External"/><Relationship Id="rId19" Type="http://schemas.openxmlformats.org/officeDocument/2006/relationships/hyperlink" Target="https://www.zakon.hr/cms.htm?id=26185"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 Id="rId22" Type="http://schemas.openxmlformats.org/officeDocument/2006/relationships/hyperlink" Target="http://os-neoric-suti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2021-07-01T17:04:00Z</dcterms:created>
  <dcterms:modified xsi:type="dcterms:W3CDTF">2021-07-01T17:05:00Z</dcterms:modified>
</cp:coreProperties>
</file>